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b w:val="1"/>
          <w:sz w:val="26"/>
          <w:szCs w:val="26"/>
          <w:rtl w:val="0"/>
        </w:rPr>
        <w:t xml:space="preserve">RIVA DEL GARDA FIERECONGRESSI IN TRASFERTA A PADOVA PER ASSOCIATION DAYS EUROPE</w:t>
      </w: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Dal 6 all’8 febbraio Riva del Garda Fierecongressi ha preso parte ad </w:t>
      </w:r>
      <w:r w:rsidDel="00000000" w:rsidR="00000000" w:rsidRPr="00000000">
        <w:rPr>
          <w:rFonts w:ascii="Arial" w:cs="Arial" w:eastAsia="Arial" w:hAnsi="Arial"/>
          <w:b w:val="1"/>
          <w:sz w:val="24"/>
          <w:szCs w:val="24"/>
          <w:rtl w:val="0"/>
        </w:rPr>
        <w:t xml:space="preserve">Association Days Europe</w:t>
      </w:r>
      <w:r w:rsidDel="00000000" w:rsidR="00000000" w:rsidRPr="00000000">
        <w:rPr>
          <w:rFonts w:ascii="Arial" w:cs="Arial" w:eastAsia="Arial" w:hAnsi="Arial"/>
          <w:sz w:val="24"/>
          <w:szCs w:val="24"/>
          <w:rtl w:val="0"/>
        </w:rPr>
        <w:t xml:space="preserve">, l’evento internazionale più prestigioso dedicato ai congressi associativi, ospitato quest’anno nella città di Padova. </w:t>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rappresentare la Società sono state </w:t>
      </w:r>
      <w:r w:rsidDel="00000000" w:rsidR="00000000" w:rsidRPr="00000000">
        <w:rPr>
          <w:rFonts w:ascii="Arial" w:cs="Arial" w:eastAsia="Arial" w:hAnsi="Arial"/>
          <w:b w:val="1"/>
          <w:sz w:val="24"/>
          <w:szCs w:val="24"/>
          <w:rtl w:val="0"/>
        </w:rPr>
        <w:t xml:space="preserve">Marilena Ferraroni</w:t>
      </w:r>
      <w:r w:rsidDel="00000000" w:rsidR="00000000" w:rsidRPr="00000000">
        <w:rPr>
          <w:rFonts w:ascii="Arial" w:cs="Arial" w:eastAsia="Arial" w:hAnsi="Arial"/>
          <w:sz w:val="24"/>
          <w:szCs w:val="24"/>
          <w:rtl w:val="0"/>
        </w:rPr>
        <w:t xml:space="preserve">, Congress Sales Manager, e </w:t>
      </w:r>
      <w:r w:rsidDel="00000000" w:rsidR="00000000" w:rsidRPr="00000000">
        <w:rPr>
          <w:rFonts w:ascii="Arial" w:cs="Arial" w:eastAsia="Arial" w:hAnsi="Arial"/>
          <w:b w:val="1"/>
          <w:sz w:val="24"/>
          <w:szCs w:val="24"/>
          <w:rtl w:val="0"/>
        </w:rPr>
        <w:t xml:space="preserve">Valentina Daves</w:t>
      </w:r>
      <w:r w:rsidDel="00000000" w:rsidR="00000000" w:rsidRPr="00000000">
        <w:rPr>
          <w:rFonts w:ascii="Arial" w:cs="Arial" w:eastAsia="Arial" w:hAnsi="Arial"/>
          <w:sz w:val="24"/>
          <w:szCs w:val="24"/>
          <w:rtl w:val="0"/>
        </w:rPr>
        <w:t xml:space="preserve">, Marketing &amp; Sales Executive, che hanno partecipato agli incontri e alle attività strategiche previste dal ricco programma.</w:t>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L’evento ha riunito presidenti di associazioni, PCO e rappresentanti di destinazioni europee. Un’occasione preziosa per discutere le grandi trasformazioni che stanno ridefinendo l’industria congressuale.</w:t>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 i temi in discussione, l’evoluzione delle professioni legate al settore, con l’introduzione di nuovi ruoli dedicati alla digitalizzazione e alla gestione esperienziale, oltre all’attenzione crescente verso sostenibilità, intelligenza artificiale e realtà virtuale.</w:t>
      </w: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"Partecipare a questi incontri è fondamentale per comprendere a fondo le esigenze dei promotori degli eventi associativi e consolidare i rapporti con loro e con i rispettivi PCO – ha dichiarato </w:t>
      </w:r>
      <w:r w:rsidDel="00000000" w:rsidR="00000000" w:rsidRPr="00000000">
        <w:rPr>
          <w:rFonts w:ascii="Arial" w:cs="Arial" w:eastAsia="Arial" w:hAnsi="Arial"/>
          <w:b w:val="1"/>
          <w:sz w:val="24"/>
          <w:szCs w:val="24"/>
          <w:rtl w:val="0"/>
        </w:rPr>
        <w:t xml:space="preserve">Marilena Ferraroni</w:t>
      </w:r>
      <w:r w:rsidDel="00000000" w:rsidR="00000000" w:rsidRPr="00000000">
        <w:rPr>
          <w:rFonts w:ascii="Arial" w:cs="Arial" w:eastAsia="Arial" w:hAnsi="Arial"/>
          <w:sz w:val="24"/>
          <w:szCs w:val="24"/>
          <w:rtl w:val="0"/>
        </w:rPr>
        <w:t xml:space="preserve">. – Si tratta di occasioni che ci consentono di rafforzare le relazioni con tutti gli attori coinvolti nella candidatura di eventi sia nazionali che internazionali, oltre che di presentare la nostra offerta in modo più mirato ed efficace"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11 febbraio 2025</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